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3BE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1601AFC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820CD9A" w14:textId="7DDD5634" w:rsidR="00D44A77" w:rsidRPr="00584B2A" w:rsidRDefault="001771F2" w:rsidP="00D44A77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BF794" wp14:editId="17D5D2BD">
                <wp:simplePos x="0" y="0"/>
                <wp:positionH relativeFrom="column">
                  <wp:posOffset>4211955</wp:posOffset>
                </wp:positionH>
                <wp:positionV relativeFrom="paragraph">
                  <wp:posOffset>166370</wp:posOffset>
                </wp:positionV>
                <wp:extent cx="1969770" cy="150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AB3D4" w14:textId="77777777" w:rsidR="001771F2" w:rsidRPr="007A66FB" w:rsidRDefault="001771F2" w:rsidP="001771F2">
                            <w:pPr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0301AEDA" w14:textId="77777777" w:rsidR="001771F2" w:rsidRPr="007A66FB" w:rsidRDefault="001771F2" w:rsidP="001771F2">
                            <w:pPr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透過</w:t>
                            </w: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考察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不同的地點</w:t>
                            </w: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，認識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特區政府與社會各界推動的人道與禁毒工作，從而明白人道與禁毒工作的重要性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BF7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65pt;margin-top:13.1pt;width:155.1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" filled="f" stroked="f" strokeweight=".5pt">
                <v:textbox>
                  <w:txbxContent>
                    <w:p w14:paraId="6CEAB3D4" w14:textId="77777777" w:rsidR="001771F2" w:rsidRPr="007A66FB" w:rsidRDefault="001771F2" w:rsidP="001771F2">
                      <w:pPr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0301AEDA" w14:textId="77777777" w:rsidR="001771F2" w:rsidRPr="007A66FB" w:rsidRDefault="001771F2" w:rsidP="001771F2">
                      <w:pPr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透過</w:t>
                      </w: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考察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不同的地點</w:t>
                      </w: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，認識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特區政府與社會各界推動的人道與禁毒工作，從而明白人道與禁毒工作的重要性</w:t>
                      </w:r>
                    </w:p>
                  </w:txbxContent>
                </v:textbox>
              </v:shape>
            </w:pict>
          </mc:Fallback>
        </mc:AlternateContent>
      </w:r>
      <w:r w:rsidR="00D44A77"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D44A77"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="00D44A77"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D44A77" w:rsidRPr="005F1801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0D7C4BD0" w14:textId="449AB34C" w:rsidR="00D44A77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5F6470B" w14:textId="77777777" w:rsidR="00A84499" w:rsidRPr="00584B2A" w:rsidRDefault="00A84499" w:rsidP="00A8449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360</w:t>
      </w: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34104D16" w14:textId="77777777" w:rsidR="00A84499" w:rsidRDefault="00A84499" w:rsidP="00A8449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</w:t>
      </w:r>
      <w:r>
        <w:rPr>
          <w:rFonts w:ascii="Microsoft JhengHei UI" w:eastAsia="Microsoft JhengHei UI" w:hAnsi="Microsoft JhengHei UI" w:hint="eastAsia"/>
          <w:szCs w:val="24"/>
        </w:rPr>
        <w:t>3</w:t>
      </w:r>
      <w:r>
        <w:rPr>
          <w:rFonts w:ascii="Microsoft JhengHei UI" w:eastAsia="Microsoft JhengHei UI" w:hAnsi="Microsoft JhengHei UI"/>
          <w:szCs w:val="24"/>
        </w:rPr>
        <w:t>60</w:t>
      </w:r>
      <w:r w:rsidRPr="00584B2A">
        <w:rPr>
          <w:rFonts w:ascii="Microsoft JhengHei UI" w:eastAsia="Microsoft JhengHei UI" w:hAnsi="Microsoft JhengHei UI" w:hint="eastAsia"/>
          <w:szCs w:val="24"/>
        </w:rPr>
        <w:t>全景圖，探討：</w:t>
      </w:r>
    </w:p>
    <w:p w14:paraId="706A0188" w14:textId="77777777" w:rsidR="00A84499" w:rsidRDefault="00A84499" w:rsidP="00A84499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>
        <w:rPr>
          <w:rFonts w:ascii="Microsoft JhengHei UI" w:eastAsia="Microsoft JhengHei UI" w:hAnsi="Microsoft JhengHei UI" w:hint="eastAsia"/>
          <w:szCs w:val="24"/>
        </w:rPr>
        <w:t>多個與</w:t>
      </w:r>
      <w:r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有關的地點</w:t>
      </w:r>
    </w:p>
    <w:p w14:paraId="2DC9B59E" w14:textId="77777777" w:rsidR="00A84499" w:rsidRDefault="00A84499" w:rsidP="00A84499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的種類</w:t>
      </w:r>
    </w:p>
    <w:p w14:paraId="39190CA9" w14:textId="2E4947F0" w:rsidR="00D44A77" w:rsidRDefault="00A84499" w:rsidP="00A84499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</w:t>
      </w:r>
      <w:r w:rsidRPr="00E548F9">
        <w:rPr>
          <w:rFonts w:ascii="Microsoft JhengHei UI" w:eastAsia="Microsoft JhengHei UI" w:hAnsi="Microsoft JhengHei UI" w:hint="eastAsia"/>
          <w:szCs w:val="24"/>
        </w:rPr>
        <w:t>特區政府</w:t>
      </w:r>
      <w:r>
        <w:rPr>
          <w:rFonts w:ascii="Microsoft JhengHei UI" w:eastAsia="Microsoft JhengHei UI" w:hAnsi="Microsoft JhengHei UI" w:hint="eastAsia"/>
          <w:szCs w:val="24"/>
        </w:rPr>
        <w:t>以</w:t>
      </w:r>
      <w:r w:rsidRPr="00E548F9">
        <w:rPr>
          <w:rFonts w:ascii="Microsoft JhengHei UI" w:eastAsia="Microsoft JhengHei UI" w:hAnsi="Microsoft JhengHei UI" w:hint="eastAsia"/>
          <w:szCs w:val="24"/>
        </w:rPr>
        <w:t>至社會各界</w:t>
      </w:r>
      <w:r>
        <w:rPr>
          <w:rFonts w:ascii="Microsoft JhengHei UI" w:eastAsia="Microsoft JhengHei UI" w:hAnsi="Microsoft JhengHei UI" w:hint="eastAsia"/>
          <w:szCs w:val="24"/>
        </w:rPr>
        <w:t>對推動</w:t>
      </w:r>
      <w:r w:rsidRPr="00E548F9">
        <w:rPr>
          <w:rFonts w:ascii="Microsoft JhengHei UI" w:eastAsia="Microsoft JhengHei UI" w:hAnsi="Microsoft JhengHei UI" w:hint="eastAsia"/>
          <w:szCs w:val="24"/>
        </w:rPr>
        <w:t>人道</w:t>
      </w:r>
      <w:r>
        <w:rPr>
          <w:rFonts w:ascii="Microsoft JhengHei UI" w:eastAsia="Microsoft JhengHei UI" w:hAnsi="Microsoft JhengHei UI" w:hint="eastAsia"/>
          <w:szCs w:val="24"/>
        </w:rPr>
        <w:t>與禁毒</w:t>
      </w:r>
      <w:r w:rsidRPr="00E548F9">
        <w:rPr>
          <w:rFonts w:ascii="Microsoft JhengHei UI" w:eastAsia="Microsoft JhengHei UI" w:hAnsi="Microsoft JhengHei UI" w:hint="eastAsia"/>
          <w:szCs w:val="24"/>
        </w:rPr>
        <w:t>工作所作的努力</w:t>
      </w:r>
    </w:p>
    <w:p w14:paraId="11077A8D" w14:textId="77777777" w:rsidR="00D44A77" w:rsidRPr="00287AF6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9648C74" w14:textId="77777777" w:rsidR="00D845B7" w:rsidRPr="00584B2A" w:rsidRDefault="00D845B7" w:rsidP="00D845B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616D204C" w14:textId="77777777" w:rsidR="00D845B7" w:rsidRPr="00584B2A" w:rsidRDefault="00D845B7" w:rsidP="00D845B7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>
        <w:rPr>
          <w:rFonts w:ascii="Microsoft JhengHei UI" w:eastAsia="Microsoft JhengHei UI" w:hAnsi="Microsoft JhengHei UI" w:hint="eastAsia"/>
          <w:szCs w:val="24"/>
        </w:rPr>
        <w:t>：在</w:t>
      </w:r>
      <w:r w:rsidRPr="007176BA">
        <w:rPr>
          <w:rFonts w:ascii="Microsoft JhengHei UI" w:eastAsia="Microsoft JhengHei UI" w:hAnsi="Microsoft JhengHei UI" w:hint="eastAsia"/>
          <w:szCs w:val="24"/>
        </w:rPr>
        <w:t>日常生活</w:t>
      </w:r>
      <w:r>
        <w:rPr>
          <w:rFonts w:ascii="Microsoft JhengHei UI" w:eastAsia="Microsoft JhengHei UI" w:hAnsi="Microsoft JhengHei UI" w:hint="eastAsia"/>
          <w:szCs w:val="24"/>
        </w:rPr>
        <w:t>中可接觸到的</w:t>
      </w:r>
      <w:r w:rsidRPr="007176BA">
        <w:rPr>
          <w:rFonts w:ascii="Microsoft JhengHei UI" w:eastAsia="Microsoft JhengHei UI" w:hAnsi="Microsoft JhengHei UI" w:hint="eastAsia"/>
          <w:szCs w:val="24"/>
        </w:rPr>
        <w:t>人道工作</w:t>
      </w:r>
    </w:p>
    <w:p w14:paraId="327CDB80" w14:textId="77777777" w:rsidR="00D845B7" w:rsidRPr="002C2E8E" w:rsidRDefault="00D845B7" w:rsidP="00D845B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>
        <w:rPr>
          <w:rFonts w:ascii="Microsoft JhengHei UI" w:eastAsia="Microsoft JhengHei UI" w:hAnsi="Microsoft JhengHei UI" w:hint="eastAsia"/>
          <w:szCs w:val="24"/>
        </w:rPr>
        <w:t>：</w:t>
      </w:r>
      <w:r w:rsidRPr="00D5367C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</w:p>
    <w:p w14:paraId="620D985B" w14:textId="77777777" w:rsidR="00D44A77" w:rsidRPr="00584B2A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E9AD7F7" w14:textId="77777777" w:rsidR="00D44A77" w:rsidRPr="00584B2A" w:rsidRDefault="00D44A77" w:rsidP="00D44A77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555BF0B3" w14:textId="77777777" w:rsidR="00D44A77" w:rsidRDefault="00D44A77" w:rsidP="00D44A77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432DF84A" w14:textId="77777777" w:rsidR="00D44A77" w:rsidRDefault="00D44A77" w:rsidP="00D44A77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2DC23" wp14:editId="09D41B8F">
                <wp:simplePos x="0" y="0"/>
                <wp:positionH relativeFrom="column">
                  <wp:posOffset>4147186</wp:posOffset>
                </wp:positionH>
                <wp:positionV relativeFrom="paragraph">
                  <wp:posOffset>172085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77F33" w14:textId="77777777" w:rsidR="00D44A77" w:rsidRPr="007A66FB" w:rsidRDefault="00D44A77" w:rsidP="00D44A77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6A27BEF6" w14:textId="77777777" w:rsidR="00D44A77" w:rsidRPr="007A66FB" w:rsidRDefault="00D44A77" w:rsidP="00D44A77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11D5D1E4" w14:textId="77777777" w:rsidR="00D44A77" w:rsidRPr="007A66FB" w:rsidRDefault="00D44A77" w:rsidP="00D44A77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52E1C83B" w14:textId="77777777" w:rsidR="00D44A77" w:rsidRPr="007A66FB" w:rsidRDefault="00D44A77" w:rsidP="00D44A77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3ACB6650" w14:textId="77777777" w:rsidR="00D44A77" w:rsidRPr="007A66FB" w:rsidRDefault="00D44A77" w:rsidP="00D44A77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DC23" id="Text Box 5" o:spid="_x0000_s1027" type="#_x0000_t202" style="position:absolute;left:0;text-align:left;margin-left:326.55pt;margin-top:13.55pt;width:160.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" filled="f" stroked="f" strokeweight=".5pt">
                <v:textbox>
                  <w:txbxContent>
                    <w:p w14:paraId="75877F33" w14:textId="77777777" w:rsidR="00D44A77" w:rsidRPr="007A66FB" w:rsidRDefault="00D44A77" w:rsidP="00D44A77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6A27BEF6" w14:textId="77777777" w:rsidR="00D44A77" w:rsidRPr="007A66FB" w:rsidRDefault="00D44A77" w:rsidP="00D44A77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11D5D1E4" w14:textId="77777777" w:rsidR="00D44A77" w:rsidRPr="007A66FB" w:rsidRDefault="00D44A77" w:rsidP="00D44A77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52E1C83B" w14:textId="77777777" w:rsidR="00D44A77" w:rsidRPr="007A66FB" w:rsidRDefault="00D44A77" w:rsidP="00D44A77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3ACB6650" w14:textId="77777777" w:rsidR="00D44A77" w:rsidRPr="007A66FB" w:rsidRDefault="00D44A77" w:rsidP="00D44A77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59B12FC" w14:textId="77777777" w:rsidR="00D44A77" w:rsidRDefault="00D44A77" w:rsidP="00D44A77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9344129" w14:textId="77777777" w:rsidR="00D44A77" w:rsidRDefault="00D44A77" w:rsidP="00D44A77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24B4A627" w14:textId="77777777" w:rsidR="00D44A77" w:rsidRDefault="00D44A77" w:rsidP="00D44A77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137A02D" w14:textId="77777777" w:rsidR="007E3952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一些與</w:t>
      </w:r>
      <w:r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與禁毒行動有關的地點；</w:t>
      </w:r>
    </w:p>
    <w:p w14:paraId="4E0897D1" w14:textId="77777777" w:rsidR="007E3952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分辨兩條路線的特點；</w:t>
      </w:r>
    </w:p>
    <w:p w14:paraId="3AB512FB" w14:textId="77777777" w:rsidR="007E3952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4FA5F542" w14:textId="77777777" w:rsidR="007E3952" w:rsidRPr="005006B0" w:rsidRDefault="007E3952" w:rsidP="007E3952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BE28B3">
        <w:rPr>
          <w:rFonts w:ascii="Microsoft JhengHei UI" w:eastAsia="Microsoft JhengHei UI" w:hAnsi="Microsoft JhengHei UI" w:hint="eastAsia"/>
          <w:szCs w:val="24"/>
        </w:rPr>
        <w:t>明白人道與禁毒工作的重要性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1B6FD1E1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2CA7435" w14:textId="77777777" w:rsidR="00D44A77" w:rsidRDefault="00D44A77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853453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3535DB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600D5E" w14:textId="052F50CE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33B920E" w14:textId="1F5EE4CD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67C4B6B" w14:textId="77777777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3ED9DE6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A86455C" w14:textId="77777777" w:rsidR="00510AA7" w:rsidRPr="00C435B1" w:rsidRDefault="00510AA7" w:rsidP="00ED144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DD12E3">
        <w:rPr>
          <w:rFonts w:ascii="Microsoft JhengHei UI" w:eastAsia="Microsoft JhengHei UI" w:hAnsi="Microsoft JhengHei UI" w:hint="eastAsia"/>
          <w:b/>
          <w:bCs/>
          <w:szCs w:val="24"/>
        </w:rPr>
        <w:t>在日常生活中可接觸到的人道工作</w:t>
      </w:r>
    </w:p>
    <w:p w14:paraId="4C1FB4DC" w14:textId="77777777" w:rsidR="00510AA7" w:rsidRPr="007E0906" w:rsidRDefault="00510AA7" w:rsidP="00ED144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776A3EF9" w14:textId="77777777" w:rsidR="00510AA7" w:rsidRDefault="00510AA7" w:rsidP="00510AA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的地點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認識多項</w:t>
      </w:r>
      <w:r w:rsidRPr="004C3012">
        <w:rPr>
          <w:rFonts w:ascii="Microsoft JhengHei UI" w:eastAsia="Microsoft JhengHei UI" w:hAnsi="Microsoft JhengHei UI" w:hint="eastAsia"/>
          <w:szCs w:val="24"/>
        </w:rPr>
        <w:t>人道工作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07B92" w14:paraId="2345DF37" w14:textId="77777777" w:rsidTr="00A83C6F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7EA276EF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9B9AD9B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F57515" w14:paraId="05B8BA18" w14:textId="77777777" w:rsidTr="00A83C6F">
        <w:tc>
          <w:tcPr>
            <w:tcW w:w="1555" w:type="dxa"/>
          </w:tcPr>
          <w:p w14:paraId="4A90F488" w14:textId="1174D095" w:rsidR="00F57515" w:rsidRPr="003C7C1D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27BF">
              <w:rPr>
                <w:rFonts w:ascii="Microsoft JhengHei UI" w:eastAsia="Microsoft JhengHei UI" w:hAnsi="Microsoft JhengHei UI" w:hint="eastAsia"/>
                <w:szCs w:val="24"/>
              </w:rPr>
              <w:t>過渡性房屋</w:t>
            </w:r>
          </w:p>
        </w:tc>
        <w:tc>
          <w:tcPr>
            <w:tcW w:w="8079" w:type="dxa"/>
          </w:tcPr>
          <w:p w14:paraId="4D657004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過渡性房屋是一個怎樣的項目？它的推行目的是甚麼？</w:t>
            </w:r>
          </w:p>
          <w:p w14:paraId="00B047A2" w14:textId="47872910" w:rsidR="00F57515" w:rsidRPr="00287AF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為協助</w:t>
            </w:r>
            <w:r w:rsidRPr="00AB31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正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</w:t>
            </w:r>
            <w:r w:rsidRPr="00AB31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輪候公屋或有迫切住屋需要的市民提供臨時住所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而推出的項目。</w:t>
            </w:r>
            <w:r w:rsidRPr="003669E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過渡性房屋的租金水平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廉宜、每個單位有獨立煮食及衞生設施、附有休憩設施，可以改善市民生活</w:t>
            </w:r>
          </w:p>
        </w:tc>
      </w:tr>
      <w:tr w:rsidR="00F57515" w14:paraId="0E279097" w14:textId="77777777" w:rsidTr="00A83C6F">
        <w:tc>
          <w:tcPr>
            <w:tcW w:w="1555" w:type="dxa"/>
          </w:tcPr>
          <w:p w14:paraId="1AC7CC97" w14:textId="3B207B58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94524">
              <w:rPr>
                <w:rFonts w:ascii="Microsoft JhengHei UI" w:eastAsia="Microsoft JhengHei UI" w:hAnsi="Microsoft JhengHei UI" w:hint="eastAsia"/>
                <w:szCs w:val="24"/>
              </w:rPr>
              <w:t>公共浴室</w:t>
            </w:r>
          </w:p>
        </w:tc>
        <w:tc>
          <w:tcPr>
            <w:tcW w:w="8079" w:type="dxa"/>
          </w:tcPr>
          <w:p w14:paraId="7A1C1356" w14:textId="77777777" w:rsidR="00F57515" w:rsidRPr="00607B0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7B02">
              <w:rPr>
                <w:rFonts w:ascii="Microsoft JhengHei UI" w:eastAsia="Microsoft JhengHei UI" w:hAnsi="Microsoft JhengHei UI" w:hint="eastAsia"/>
                <w:szCs w:val="24"/>
              </w:rPr>
              <w:t>這些興建多時的設施仍有其存在價值嗎？為甚麼？</w:t>
            </w:r>
          </w:p>
          <w:p w14:paraId="7430C5F7" w14:textId="221ED53C" w:rsidR="00F57515" w:rsidRPr="00287AF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7B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有，由於現時仍有少數社會低下階層人士居住</w:t>
            </w:r>
            <w:proofErr w:type="gramStart"/>
            <w:r w:rsidRPr="00607B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在籠屋</w:t>
            </w:r>
            <w:proofErr w:type="gramEnd"/>
            <w:r w:rsidRPr="00607B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、劏房等衞生設施不足的地方，因此這些公共浴室相信仍有其作用</w:t>
            </w:r>
          </w:p>
        </w:tc>
      </w:tr>
      <w:tr w:rsidR="00F57515" w14:paraId="1BCC93B3" w14:textId="77777777" w:rsidTr="00A83C6F">
        <w:tc>
          <w:tcPr>
            <w:tcW w:w="1555" w:type="dxa"/>
          </w:tcPr>
          <w:p w14:paraId="1EE2AE13" w14:textId="28241A82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F489E">
              <w:rPr>
                <w:rFonts w:ascii="Microsoft JhengHei UI" w:eastAsia="Microsoft JhengHei UI" w:hAnsi="Microsoft JhengHei UI" w:hint="eastAsia"/>
                <w:szCs w:val="24"/>
              </w:rPr>
              <w:t>露宿者服務中心</w:t>
            </w:r>
          </w:p>
        </w:tc>
        <w:tc>
          <w:tcPr>
            <w:tcW w:w="8079" w:type="dxa"/>
          </w:tcPr>
          <w:p w14:paraId="53F0E91B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我們可以在哪些方面照顧</w:t>
            </w:r>
            <w:r w:rsidRPr="00312B81">
              <w:rPr>
                <w:rFonts w:ascii="Microsoft JhengHei UI" w:eastAsia="Microsoft JhengHei UI" w:hAnsi="Microsoft JhengHei UI" w:hint="eastAsia"/>
                <w:szCs w:val="24"/>
              </w:rPr>
              <w:t>露宿者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D471A66" w14:textId="5C2B9270" w:rsidR="00F57515" w:rsidRPr="00036630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我們可以為</w:t>
            </w:r>
            <w:r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露宿者和貧困人士提供食物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援助</w:t>
            </w:r>
            <w:r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、庇護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場所</w:t>
            </w:r>
            <w:r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和輔導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工作</w:t>
            </w:r>
            <w:r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。另外，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我們亦可以多</w:t>
            </w:r>
            <w:r w:rsidRPr="00312B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探訪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他們，多關心他們</w:t>
            </w:r>
          </w:p>
        </w:tc>
      </w:tr>
      <w:tr w:rsidR="00F57515" w14:paraId="3F548AC0" w14:textId="77777777" w:rsidTr="00A83C6F">
        <w:tc>
          <w:tcPr>
            <w:tcW w:w="1555" w:type="dxa"/>
          </w:tcPr>
          <w:p w14:paraId="124AE8F0" w14:textId="55D5FBD6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</w:p>
        </w:tc>
        <w:tc>
          <w:tcPr>
            <w:tcW w:w="8079" w:type="dxa"/>
          </w:tcPr>
          <w:p w14:paraId="4DC0C899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可以怎樣幫助基層人士？</w:t>
            </w:r>
          </w:p>
          <w:p w14:paraId="757908D3" w14:textId="77DC66F3" w:rsidR="00F57515" w:rsidRPr="00287AF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734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社福機構在香港不同地點放置食物提取自助機，有需要人士可以不限時間，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隨時</w:t>
            </w:r>
            <w:r w:rsidRPr="000734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提取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健康、具營養價值的</w:t>
            </w:r>
            <w:r w:rsidRPr="000734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食物</w:t>
            </w:r>
          </w:p>
        </w:tc>
      </w:tr>
      <w:tr w:rsidR="00F57515" w14:paraId="10E61042" w14:textId="77777777" w:rsidTr="00A83C6F">
        <w:tc>
          <w:tcPr>
            <w:tcW w:w="1555" w:type="dxa"/>
          </w:tcPr>
          <w:p w14:paraId="295BCA95" w14:textId="40AA071A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</w:p>
        </w:tc>
        <w:tc>
          <w:tcPr>
            <w:tcW w:w="8079" w:type="dxa"/>
          </w:tcPr>
          <w:p w14:paraId="55DF41AB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  <w:r w:rsidRPr="00FB1B4B">
              <w:rPr>
                <w:rFonts w:ascii="Microsoft JhengHei UI" w:eastAsia="Microsoft JhengHei UI" w:hAnsi="Microsoft JhengHei UI" w:hint="eastAsia"/>
                <w:szCs w:val="24"/>
              </w:rPr>
              <w:t>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37093E3" w14:textId="70E71310" w:rsidR="00F57515" w:rsidRPr="00E22332" w:rsidRDefault="00F57515" w:rsidP="00D6195F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香港是物質富裕的社會，每天都會製造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不少廚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餘，食物捐助機能夠方便不同地區的市民捐助吃不完的</w:t>
            </w:r>
            <w:r w:rsidRP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，並送給</w:t>
            </w:r>
            <w:r w:rsidRPr="007F2F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有需要人士</w:t>
            </w:r>
          </w:p>
        </w:tc>
      </w:tr>
      <w:tr w:rsidR="00F57515" w:rsidRPr="00036630" w14:paraId="5E21A421" w14:textId="77777777" w:rsidTr="00A83C6F">
        <w:tc>
          <w:tcPr>
            <w:tcW w:w="1555" w:type="dxa"/>
          </w:tcPr>
          <w:p w14:paraId="650A6E92" w14:textId="2075AFDC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proofErr w:type="gramStart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良心飯堂</w:t>
            </w:r>
            <w:proofErr w:type="gramEnd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」</w:t>
            </w:r>
          </w:p>
        </w:tc>
        <w:tc>
          <w:tcPr>
            <w:tcW w:w="8079" w:type="dxa"/>
          </w:tcPr>
          <w:p w14:paraId="34DEFC00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明哥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的義舉值得學習</w:t>
            </w: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嗎？為甚麼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90DB691" w14:textId="697651E8" w:rsidR="00F57515" w:rsidRPr="00036630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社會上有很多</w:t>
            </w:r>
            <w:r w:rsidRPr="002E35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基層人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士三餐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繼，</w:t>
            </w:r>
            <w:r w:rsidRPr="002E35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明哥的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義舉</w:t>
            </w:r>
            <w:r w:rsidRPr="002E35A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可以為有需要人士解決燃眉之急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，因此很值得我們學習</w:t>
            </w:r>
          </w:p>
        </w:tc>
      </w:tr>
      <w:tr w:rsidR="00F57515" w:rsidRPr="00287AF6" w14:paraId="0288A19F" w14:textId="77777777" w:rsidTr="00A83C6F">
        <w:tc>
          <w:tcPr>
            <w:tcW w:w="1555" w:type="dxa"/>
          </w:tcPr>
          <w:p w14:paraId="4BA25C75" w14:textId="263936C5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15F">
              <w:rPr>
                <w:rFonts w:ascii="Microsoft JhengHei UI" w:eastAsia="Microsoft JhengHei UI" w:hAnsi="Microsoft JhengHei UI" w:hint="eastAsia"/>
                <w:szCs w:val="24"/>
              </w:rPr>
              <w:t>公平貿易商店</w:t>
            </w:r>
          </w:p>
        </w:tc>
        <w:tc>
          <w:tcPr>
            <w:tcW w:w="8079" w:type="dxa"/>
          </w:tcPr>
          <w:p w14:paraId="483A0BF1" w14:textId="77777777" w:rsidR="00F57515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公平貿易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理念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怎樣幫助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基層勞工？</w:t>
            </w:r>
          </w:p>
          <w:p w14:paraId="59DCB13F" w14:textId="75E905F9" w:rsidR="00F57515" w:rsidRPr="00287AF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Pr="00A468E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生產者得到合理回報，例如農民和工人得到合理的工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資</w:t>
            </w:r>
            <w:r w:rsidRPr="00A468E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，並在合適的環境下工作，消費者亦能夠以合理的價格購買這些產品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，相得益彰</w:t>
            </w:r>
          </w:p>
        </w:tc>
      </w:tr>
      <w:tr w:rsidR="00F57515" w:rsidRPr="00E22332" w14:paraId="5985888D" w14:textId="77777777" w:rsidTr="00A83C6F">
        <w:tc>
          <w:tcPr>
            <w:tcW w:w="1555" w:type="dxa"/>
          </w:tcPr>
          <w:p w14:paraId="4EACFB2C" w14:textId="4977DECC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0332B">
              <w:rPr>
                <w:rFonts w:ascii="Microsoft JhengHei UI" w:eastAsia="Microsoft JhengHei UI" w:hAnsi="Microsoft JhengHei UI" w:hint="eastAsia"/>
                <w:szCs w:val="24"/>
              </w:rPr>
              <w:t>中醫診所</w:t>
            </w:r>
          </w:p>
        </w:tc>
        <w:tc>
          <w:tcPr>
            <w:tcW w:w="8079" w:type="dxa"/>
          </w:tcPr>
          <w:p w14:paraId="3C6382DF" w14:textId="77777777" w:rsidR="00F57515" w:rsidRPr="0080468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慈善機構為甚麼要向基層人士提供醫療服務？</w:t>
            </w:r>
          </w:p>
          <w:p w14:paraId="1308F401" w14:textId="50A07C87" w:rsidR="00F57515" w:rsidRPr="00E2233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以急症室服務為例，市民到公立醫院</w:t>
            </w:r>
            <w:proofErr w:type="gramStart"/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急症室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求診</w:t>
            </w:r>
            <w:proofErr w:type="gramEnd"/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往往需要輪候數小時才能得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到</w:t>
            </w:r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治療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Pr="00BE4EA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慈善機構向基層人士提供醫療服務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紓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緩相關問題</w:t>
            </w:r>
          </w:p>
        </w:tc>
      </w:tr>
      <w:tr w:rsidR="00F57515" w:rsidRPr="00E22332" w14:paraId="6E29D9FD" w14:textId="77777777" w:rsidTr="00A83C6F">
        <w:tc>
          <w:tcPr>
            <w:tcW w:w="1555" w:type="dxa"/>
          </w:tcPr>
          <w:p w14:paraId="72D48048" w14:textId="2D9E456E" w:rsidR="00F57515" w:rsidRPr="00C0332B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E0145">
              <w:rPr>
                <w:rFonts w:ascii="Microsoft JhengHei UI" w:eastAsia="Microsoft JhengHei UI" w:hAnsi="Microsoft JhengHei UI" w:hint="eastAsia"/>
                <w:szCs w:val="24"/>
              </w:rPr>
              <w:t>捐血中心</w:t>
            </w:r>
          </w:p>
        </w:tc>
        <w:tc>
          <w:tcPr>
            <w:tcW w:w="8079" w:type="dxa"/>
          </w:tcPr>
          <w:p w14:paraId="712B803C" w14:textId="77777777" w:rsidR="00F57515" w:rsidRPr="00804686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/>
                <w:szCs w:val="24"/>
              </w:rPr>
              <w:t>捐血</w:t>
            </w: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救人為甚麼重要？</w:t>
            </w:r>
          </w:p>
          <w:p w14:paraId="03EE75CD" w14:textId="2CE362BA" w:rsidR="00F57515" w:rsidRPr="004869A2" w:rsidRDefault="00F57515" w:rsidP="00F5751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17B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捐血是一件非常有意義的事情。紅十字會網頁資料顯示，本港每天需要1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,</w:t>
            </w:r>
            <w:r w:rsidRPr="00F17BB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100名捐血人士，才能為全港醫院供應足夠血液，以進行臨床輸血治療</w:t>
            </w:r>
          </w:p>
        </w:tc>
      </w:tr>
    </w:tbl>
    <w:p w14:paraId="569CB8AB" w14:textId="77777777" w:rsidR="00F07B92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747D1" w:rsidRPr="004869A2" w14:paraId="5A94F6D7" w14:textId="77777777" w:rsidTr="00A83C6F">
        <w:tc>
          <w:tcPr>
            <w:tcW w:w="1555" w:type="dxa"/>
          </w:tcPr>
          <w:p w14:paraId="55655867" w14:textId="0FA0D983" w:rsidR="008747D1" w:rsidRPr="00C0332B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9B41FA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</w:p>
        </w:tc>
        <w:tc>
          <w:tcPr>
            <w:tcW w:w="8079" w:type="dxa"/>
          </w:tcPr>
          <w:p w14:paraId="32557889" w14:textId="77777777" w:rsidR="008747D1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2F6FC6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的成立目的是甚麼</w:t>
            </w:r>
            <w:r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016179F" w14:textId="13FDDFFC" w:rsidR="008747D1" w:rsidRPr="00756B0C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環保</w:t>
            </w:r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家品店</w:t>
            </w:r>
            <w:proofErr w:type="gramEnd"/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售賣各式各樣的物品，有</w:t>
            </w:r>
            <w:proofErr w:type="gramStart"/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部分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家品</w:t>
            </w:r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是</w:t>
            </w:r>
            <w:proofErr w:type="gramEnd"/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二手的，有部分則是全新的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，有助</w:t>
            </w:r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提倡「物盡其用、循環再用」的環保文化，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使</w:t>
            </w:r>
            <w:r w:rsidRPr="009C4D2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資源有效地運用</w:t>
            </w:r>
          </w:p>
        </w:tc>
      </w:tr>
      <w:tr w:rsidR="008747D1" w:rsidRPr="004869A2" w14:paraId="37CEE7F9" w14:textId="77777777" w:rsidTr="00A83C6F">
        <w:tc>
          <w:tcPr>
            <w:tcW w:w="1555" w:type="dxa"/>
          </w:tcPr>
          <w:p w14:paraId="1FCE8C45" w14:textId="7ED83DBF" w:rsidR="008747D1" w:rsidRPr="00C0332B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04C47">
              <w:rPr>
                <w:rFonts w:ascii="Microsoft JhengHei UI" w:eastAsia="Microsoft JhengHei UI" w:hAnsi="Microsoft JhengHei UI" w:hint="eastAsia"/>
                <w:szCs w:val="24"/>
              </w:rPr>
              <w:t>衣物回收箱</w:t>
            </w:r>
          </w:p>
        </w:tc>
        <w:tc>
          <w:tcPr>
            <w:tcW w:w="8079" w:type="dxa"/>
          </w:tcPr>
          <w:p w14:paraId="68BB2302" w14:textId="77777777" w:rsidR="008747D1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D2705">
              <w:rPr>
                <w:rFonts w:ascii="Microsoft JhengHei UI" w:eastAsia="Microsoft JhengHei UI" w:hAnsi="Microsoft JhengHei UI" w:hint="eastAsia"/>
                <w:szCs w:val="24"/>
              </w:rPr>
              <w:t>「社區舊衣回收箱計劃」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是一個怎樣的計劃</w:t>
            </w:r>
            <w:r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B16768D" w14:textId="6E3AF82A" w:rsidR="008747D1" w:rsidRPr="00756B0C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D270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這計劃由政府與非政府機構合作推行，參與機構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透過</w:t>
            </w:r>
            <w:r w:rsidRPr="005D270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營運 「社區舊衣回收箱」，定期收集市民捐贈的舊衣，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這些</w:t>
            </w:r>
            <w:r w:rsidRPr="005D270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衣物可用作出售，收益作慈善用途</w:t>
            </w:r>
          </w:p>
        </w:tc>
      </w:tr>
      <w:tr w:rsidR="008747D1" w:rsidRPr="004869A2" w14:paraId="3A905F31" w14:textId="77777777" w:rsidTr="00A83C6F">
        <w:tc>
          <w:tcPr>
            <w:tcW w:w="1555" w:type="dxa"/>
          </w:tcPr>
          <w:p w14:paraId="17A612C0" w14:textId="677467FB" w:rsidR="008747D1" w:rsidRPr="00F04C47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22DA">
              <w:rPr>
                <w:rFonts w:ascii="Microsoft JhengHei UI" w:eastAsia="Microsoft JhengHei UI" w:hAnsi="Microsoft JhengHei UI" w:hint="eastAsia"/>
                <w:szCs w:val="24"/>
              </w:rPr>
              <w:t>「綠在區區」回收環保站</w:t>
            </w:r>
          </w:p>
        </w:tc>
        <w:tc>
          <w:tcPr>
            <w:tcW w:w="8079" w:type="dxa"/>
          </w:tcPr>
          <w:p w14:paraId="7F799AF5" w14:textId="77777777" w:rsidR="008747D1" w:rsidRPr="00617324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7324">
              <w:rPr>
                <w:rFonts w:ascii="Microsoft JhengHei UI" w:eastAsia="Microsoft JhengHei UI" w:hAnsi="Microsoft JhengHei UI" w:hint="eastAsia"/>
                <w:szCs w:val="24"/>
              </w:rPr>
              <w:t>環境保護與人道危機有甚麼關連？</w:t>
            </w:r>
          </w:p>
          <w:p w14:paraId="3F4E5143" w14:textId="773AA84E" w:rsidR="008747D1" w:rsidRPr="005D2705" w:rsidRDefault="008747D1" w:rsidP="008747D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推行環保，減少製造污染物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，減少對</w:t>
            </w:r>
            <w:r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食物和淡水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的影響</w:t>
            </w:r>
            <w:r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Pr="0061732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阻止人道危機的出現</w:t>
            </w:r>
          </w:p>
        </w:tc>
      </w:tr>
    </w:tbl>
    <w:p w14:paraId="4E8BC418" w14:textId="77777777" w:rsidR="00F07B92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5886CE07" w14:textId="77777777" w:rsidR="0049399B" w:rsidRPr="007E0906" w:rsidRDefault="0049399B" w:rsidP="0049399B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469AD389" w14:textId="77777777" w:rsidR="0049399B" w:rsidRDefault="0049399B" w:rsidP="0049399B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A800A4">
        <w:rPr>
          <w:rFonts w:ascii="Microsoft JhengHei UI" w:eastAsia="Microsoft JhengHei UI" w:hAnsi="Microsoft JhengHei UI" w:hint="eastAsia"/>
          <w:szCs w:val="24"/>
        </w:rPr>
        <w:t>你認為香港</w:t>
      </w:r>
      <w:r>
        <w:rPr>
          <w:rFonts w:ascii="Microsoft JhengHei UI" w:eastAsia="Microsoft JhengHei UI" w:hAnsi="Microsoft JhengHei UI" w:hint="eastAsia"/>
          <w:szCs w:val="24"/>
        </w:rPr>
        <w:t>的人道工作</w:t>
      </w:r>
      <w:r w:rsidRPr="00A800A4">
        <w:rPr>
          <w:rFonts w:ascii="Microsoft JhengHei UI" w:eastAsia="Microsoft JhengHei UI" w:hAnsi="Microsoft JhengHei UI" w:hint="eastAsia"/>
          <w:szCs w:val="24"/>
        </w:rPr>
        <w:t>足夠</w:t>
      </w:r>
      <w:r>
        <w:rPr>
          <w:rFonts w:ascii="Microsoft JhengHei UI" w:eastAsia="Microsoft JhengHei UI" w:hAnsi="Microsoft JhengHei UI" w:hint="eastAsia"/>
          <w:szCs w:val="24"/>
        </w:rPr>
        <w:t>嗎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2A009" wp14:editId="7242482B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026785" cy="7524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F8825" w14:textId="77777777" w:rsidR="0049399B" w:rsidRPr="00602FB9" w:rsidRDefault="0049399B" w:rsidP="0049399B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800A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不太</w:t>
                            </w:r>
                            <w:r w:rsidRPr="00A800A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足夠，因為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</w:t>
                            </w:r>
                            <w:r w:rsidRPr="00A800A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港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雖然鮮有市民因糧食不足及營養不良而死亡的個案，然而香港土地及房屋供應不足、醫療服務不夠的問題，仍困擾多年。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A009" id="Text Box 9" o:spid="_x0000_s1028" type="#_x0000_t202" style="position:absolute;left:0;text-align:left;margin-left:12pt;margin-top:17pt;width:474.5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zvHAIAADM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" filled="f" stroked="f" strokeweight=".5pt">
                <v:textbox>
                  <w:txbxContent>
                    <w:p w14:paraId="362F8825" w14:textId="77777777" w:rsidR="0049399B" w:rsidRPr="00602FB9" w:rsidRDefault="0049399B" w:rsidP="0049399B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800A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不太</w:t>
                      </w:r>
                      <w:r w:rsidRPr="00A800A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足夠，因為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</w:t>
                      </w:r>
                      <w:r w:rsidRPr="00A800A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港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雖然鮮有市民因糧食不足及營養不良而死亡的個案，然而香港土地及房屋供應不足、醫療服務不夠的問題，仍困擾多年。</w:t>
                      </w:r>
                    </w:p>
                  </w:txbxContent>
                </v:textbox>
              </v:shape>
            </w:pict>
          </mc:Fallback>
        </mc:AlternateContent>
      </w:r>
      <w:r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CB20550" w14:textId="77777777" w:rsidR="0049399B" w:rsidRPr="0007760D" w:rsidRDefault="0049399B" w:rsidP="0049399B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765F57C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0D87677F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E9A37A0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D54A95A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6448F68" w14:textId="77777777" w:rsidR="0083408D" w:rsidRDefault="0083408D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53F1AC53" w14:textId="77777777" w:rsidR="00F07B92" w:rsidRDefault="00F07B92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3B3264FD" w14:textId="77777777" w:rsidR="0049399B" w:rsidRDefault="0049399B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503BAF0F" w14:textId="77777777" w:rsidR="0049399B" w:rsidRDefault="0049399B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4E78D79F" w14:textId="77777777" w:rsidR="0049399B" w:rsidRDefault="0049399B" w:rsidP="00F07B92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6C99594F" w14:textId="77777777" w:rsidR="00B132AC" w:rsidRDefault="00B132AC" w:rsidP="00B132AC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7137BCFF" w14:textId="57AEEBCF" w:rsidR="00B132AC" w:rsidRPr="002079D8" w:rsidRDefault="00B132AC" w:rsidP="00B132AC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140B65">
        <w:rPr>
          <w:rFonts w:ascii="Microsoft JhengHei" w:eastAsia="Microsoft JhengHei" w:hAnsi="Microsoft JhengHei" w:hint="eastAsia"/>
          <w:b/>
          <w:bCs/>
        </w:rPr>
        <w:t>特區政府應對毒品問題的工作</w:t>
      </w:r>
    </w:p>
    <w:p w14:paraId="025A671F" w14:textId="77777777" w:rsidR="00B132AC" w:rsidRPr="007E0906" w:rsidRDefault="00B132AC" w:rsidP="00B132A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34D05444" w14:textId="6132B3B3" w:rsidR="00F07B92" w:rsidRDefault="00B132AC" w:rsidP="00B132A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的地點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</w:t>
      </w:r>
      <w:r w:rsidRPr="009344E6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07B92" w14:paraId="4E1EE9AD" w14:textId="77777777" w:rsidTr="00A83C6F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373D8062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4D72F49C" w14:textId="77777777" w:rsidR="00F07B92" w:rsidRPr="004B5969" w:rsidRDefault="00F07B92" w:rsidP="00A83C6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6B6AE2" w14:paraId="088C06A2" w14:textId="77777777" w:rsidTr="00A83C6F">
        <w:tc>
          <w:tcPr>
            <w:tcW w:w="1555" w:type="dxa"/>
          </w:tcPr>
          <w:p w14:paraId="12F765FF" w14:textId="688959D3" w:rsidR="006B6AE2" w:rsidRPr="00FF11ED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8480A">
              <w:rPr>
                <w:rFonts w:ascii="Microsoft JhengHei UI" w:eastAsia="Microsoft JhengHei UI" w:hAnsi="Microsoft JhengHei UI" w:hint="eastAsia"/>
                <w:szCs w:val="24"/>
              </w:rPr>
              <w:t>禁毒資訊天地1</w:t>
            </w:r>
          </w:p>
        </w:tc>
        <w:tc>
          <w:tcPr>
            <w:tcW w:w="8079" w:type="dxa"/>
          </w:tcPr>
          <w:p w14:paraId="7B770952" w14:textId="77777777" w:rsidR="006B6AE2" w:rsidRPr="00210916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proofErr w:type="gramStart"/>
            <w:r w:rsidRPr="00835BD5">
              <w:rPr>
                <w:rFonts w:ascii="Microsoft JhengHei UI" w:eastAsia="Microsoft JhengHei UI" w:hAnsi="Microsoft JhengHei UI" w:hint="eastAsia"/>
                <w:szCs w:val="24"/>
              </w:rPr>
              <w:t>賽馬會禁毒</w:t>
            </w:r>
            <w:proofErr w:type="gramEnd"/>
            <w:r w:rsidRPr="00835BD5">
              <w:rPr>
                <w:rFonts w:ascii="Microsoft JhengHei UI" w:eastAsia="Microsoft JhengHei UI" w:hAnsi="Microsoft JhengHei UI" w:hint="eastAsia"/>
                <w:szCs w:val="24"/>
              </w:rPr>
              <w:t>資訊天地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中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，學生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可以得到甚麼資訊？</w:t>
            </w:r>
          </w:p>
          <w:p w14:paraId="70019A5E" w14:textId="20AD9823" w:rsidR="006B6AE2" w:rsidRPr="00602FB9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1091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毒品的相關資訊，如毒品的種類、毒品的禍害，以及與禁品相關的法例、毒品治療的相關資訊等等</w:t>
            </w:r>
          </w:p>
        </w:tc>
      </w:tr>
      <w:tr w:rsidR="006B6AE2" w14:paraId="01D5BC6F" w14:textId="77777777" w:rsidTr="00A83C6F">
        <w:tc>
          <w:tcPr>
            <w:tcW w:w="1555" w:type="dxa"/>
          </w:tcPr>
          <w:p w14:paraId="7EE71957" w14:textId="53BEAED6" w:rsidR="006B6AE2" w:rsidRPr="00FF11ED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A3FA3">
              <w:rPr>
                <w:rFonts w:ascii="Microsoft JhengHei UI" w:eastAsia="Microsoft JhengHei UI" w:hAnsi="Microsoft JhengHei UI" w:hint="eastAsia"/>
                <w:szCs w:val="24"/>
              </w:rPr>
              <w:t>禁毒資訊天地2</w:t>
            </w:r>
          </w:p>
        </w:tc>
        <w:tc>
          <w:tcPr>
            <w:tcW w:w="8079" w:type="dxa"/>
          </w:tcPr>
          <w:p w14:paraId="7D413148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特區</w:t>
            </w:r>
            <w:r w:rsidRPr="00530FD0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Pr="00530FD0">
              <w:rPr>
                <w:rFonts w:ascii="Microsoft JhengHei UI" w:eastAsia="Microsoft JhengHei UI" w:hAnsi="Microsoft JhengHei UI" w:hint="eastAsia"/>
                <w:szCs w:val="24"/>
              </w:rPr>
              <w:t>毒品的執法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行動過程是怎樣的</w:t>
            </w:r>
            <w:r w:rsidRPr="00530FD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5C280D8" w14:textId="490C981C" w:rsidR="006B6AE2" w:rsidRPr="00E86E08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1167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警方和海關人員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負責</w:t>
            </w:r>
            <w:r w:rsidRPr="00E1167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執行法紀，打擊毒品活動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，拘捕毒品的運送與販賣；</w:t>
            </w:r>
            <w:r w:rsidRPr="0088692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懲教署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負責為</w:t>
            </w:r>
            <w:r w:rsidRPr="0088692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吸毒者提供戒毒治療</w:t>
            </w:r>
          </w:p>
        </w:tc>
      </w:tr>
      <w:tr w:rsidR="006B6AE2" w:rsidRPr="00442329" w14:paraId="1ADC7C0A" w14:textId="77777777" w:rsidTr="00A83C6F">
        <w:tc>
          <w:tcPr>
            <w:tcW w:w="1555" w:type="dxa"/>
          </w:tcPr>
          <w:p w14:paraId="7FAAB042" w14:textId="04DD52E4" w:rsidR="006B6AE2" w:rsidRPr="00AD24E8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AD24E8">
              <w:rPr>
                <w:rFonts w:ascii="Microsoft JhengHei UI" w:eastAsia="Microsoft JhengHei UI" w:hAnsi="Microsoft JhengHei UI" w:hint="eastAsia"/>
                <w:szCs w:val="24"/>
              </w:rPr>
              <w:t>美沙酮診所</w:t>
            </w:r>
            <w:proofErr w:type="gramEnd"/>
          </w:p>
        </w:tc>
        <w:tc>
          <w:tcPr>
            <w:tcW w:w="8079" w:type="dxa"/>
          </w:tcPr>
          <w:p w14:paraId="5396B5B1" w14:textId="77777777" w:rsidR="006B6AE2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甚麼是</w:t>
            </w:r>
            <w:r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？政府為吸毒者提供</w:t>
            </w:r>
            <w:r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的原因是甚麼？</w:t>
            </w:r>
          </w:p>
          <w:p w14:paraId="684ADBBB" w14:textId="57C535E5" w:rsidR="006B6AE2" w:rsidRPr="00442329" w:rsidRDefault="006B6AE2" w:rsidP="006B6AE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即以</w:t>
            </w:r>
            <w:proofErr w:type="gramStart"/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美沙酮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治療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美</w:t>
            </w:r>
            <w:proofErr w:type="gramStart"/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沙酮能</w:t>
            </w:r>
            <w:proofErr w:type="gramEnd"/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減輕吸毒人士在戒毒時感到的不適，未能完全戒除毒癮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人士亦可以</w:t>
            </w:r>
            <w:proofErr w:type="gramStart"/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美沙酮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作為</w:t>
            </w:r>
            <w:proofErr w:type="gramEnd"/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代替毒品，以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逐步</w:t>
            </w:r>
            <w:r w:rsidRPr="00CC74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戒除毒癮</w:t>
            </w:r>
          </w:p>
        </w:tc>
      </w:tr>
    </w:tbl>
    <w:p w14:paraId="178F3CB7" w14:textId="77777777" w:rsidR="00F07B92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6D18EAFB" w14:textId="77777777" w:rsidR="00F07B92" w:rsidRPr="007E0906" w:rsidRDefault="00F07B92" w:rsidP="00F07B9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049DA722" w14:textId="77777777" w:rsidR="00F07B92" w:rsidRPr="00ED3306" w:rsidRDefault="00F07B92" w:rsidP="0083408D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E1C00" wp14:editId="5A84FAC0">
                <wp:simplePos x="0" y="0"/>
                <wp:positionH relativeFrom="margin">
                  <wp:posOffset>403860</wp:posOffset>
                </wp:positionH>
                <wp:positionV relativeFrom="paragraph">
                  <wp:posOffset>250826</wp:posOffset>
                </wp:positionV>
                <wp:extent cx="5715000" cy="1485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4FAEA" w14:textId="77777777" w:rsidR="00F07B92" w:rsidRPr="00527A3A" w:rsidRDefault="00F07B92" w:rsidP="00F07B92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現時有不少香港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青少年前往內地吸毒，當局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應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加強與深圳合作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，與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深圳配合，在內地娛樂場所嚴厲執法。</w:t>
                            </w:r>
                            <w:proofErr w:type="gramStart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此外，</w:t>
                            </w:r>
                            <w:proofErr w:type="gramEnd"/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在打擊跨境毒品活動方面，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特區相關部門應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透過有效機制，</w:t>
                            </w:r>
                            <w:proofErr w:type="gramStart"/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與粵</w:t>
                            </w:r>
                            <w:proofErr w:type="gramEnd"/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、深、澳等地的緝毒部門保持緊密聯繫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，如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定期舉行會議，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交流意見，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商討策略，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並</w:t>
                            </w:r>
                            <w:r w:rsidRPr="00527A3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適時交換情報；彼此配合採取執法行動。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1C00" id="Text Box 11" o:spid="_x0000_s1029" type="#_x0000_t202" style="position:absolute;left:0;text-align:left;margin-left:31.8pt;margin-top:19.75pt;width:45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" filled="f" stroked="f" strokeweight=".5pt">
                <v:textbox>
                  <w:txbxContent>
                    <w:p w14:paraId="2154FAEA" w14:textId="77777777" w:rsidR="00F07B92" w:rsidRPr="00527A3A" w:rsidRDefault="00F07B92" w:rsidP="00F07B92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現時有不少香港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青少年前往內地吸毒，當局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應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加強與深圳合作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，與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深圳配合，在內地娛樂場所嚴厲執法。</w:t>
                      </w:r>
                      <w:proofErr w:type="gramStart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此外，</w:t>
                      </w:r>
                      <w:proofErr w:type="gramEnd"/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在打擊跨境毒品活動方面，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特區相關部門應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透過有效機制，</w:t>
                      </w:r>
                      <w:proofErr w:type="gramStart"/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與粵</w:t>
                      </w:r>
                      <w:proofErr w:type="gramEnd"/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、深、澳等地的緝毒部門保持緊密聯繫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，如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定期舉行會議，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交流意見，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商討策略，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並</w:t>
                      </w:r>
                      <w:r w:rsidRPr="00527A3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適時交換情報；彼此配合採取執法行動。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  <w:szCs w:val="24"/>
        </w:rPr>
        <w:t>你認為中央政府可以怎樣與特區政府合作，加強禁毒的工作？</w:t>
      </w:r>
      <w:r w:rsidRPr="00ED3306">
        <w:rPr>
          <w:rFonts w:ascii="Microsoft JhengHei UI" w:eastAsia="Microsoft JhengHei UI" w:hAnsi="Microsoft JhengHei UI"/>
          <w:szCs w:val="24"/>
        </w:rPr>
        <w:t xml:space="preserve"> </w:t>
      </w:r>
    </w:p>
    <w:p w14:paraId="2F2188BD" w14:textId="77777777" w:rsidR="00F07B92" w:rsidRPr="00ED3306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48775C8" w14:textId="77777777" w:rsidR="00F07B92" w:rsidRPr="00ED3306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BBE3932" w14:textId="77777777" w:rsidR="00F07B92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AE92D7B" w14:textId="5C6B47CF" w:rsidR="0083408D" w:rsidRDefault="0083408D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C86F33B" w14:textId="46ECBB28" w:rsidR="0083408D" w:rsidRPr="00ED3306" w:rsidRDefault="0083408D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5BA50E33" w14:textId="77777777" w:rsidR="00F07B92" w:rsidRPr="00CF4F5E" w:rsidRDefault="00F07B92" w:rsidP="00F07B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0FA4C31B" w14:textId="07ADA905" w:rsidR="000B0EBE" w:rsidRPr="00765B35" w:rsidRDefault="000B0EBE" w:rsidP="00F07B92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sectPr w:rsidR="000B0EBE" w:rsidRPr="00765B35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B55" w14:textId="77777777" w:rsidR="008B1D4E" w:rsidRDefault="008B1D4E" w:rsidP="002F3AE4">
      <w:r>
        <w:separator/>
      </w:r>
    </w:p>
  </w:endnote>
  <w:endnote w:type="continuationSeparator" w:id="0">
    <w:p w14:paraId="475EABD1" w14:textId="77777777" w:rsidR="008B1D4E" w:rsidRDefault="008B1D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B967" w14:textId="77777777" w:rsidR="008B1D4E" w:rsidRDefault="008B1D4E" w:rsidP="002F3AE4">
      <w:r>
        <w:separator/>
      </w:r>
    </w:p>
  </w:footnote>
  <w:footnote w:type="continuationSeparator" w:id="0">
    <w:p w14:paraId="7783510F" w14:textId="77777777" w:rsidR="008B1D4E" w:rsidRDefault="008B1D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0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45625">
    <w:abstractNumId w:val="18"/>
  </w:num>
  <w:num w:numId="2" w16cid:durableId="2037466630">
    <w:abstractNumId w:val="11"/>
  </w:num>
  <w:num w:numId="3" w16cid:durableId="239407782">
    <w:abstractNumId w:val="2"/>
  </w:num>
  <w:num w:numId="4" w16cid:durableId="345405591">
    <w:abstractNumId w:val="0"/>
  </w:num>
  <w:num w:numId="5" w16cid:durableId="2123107351">
    <w:abstractNumId w:val="8"/>
  </w:num>
  <w:num w:numId="6" w16cid:durableId="66804816">
    <w:abstractNumId w:val="7"/>
  </w:num>
  <w:num w:numId="7" w16cid:durableId="1509250650">
    <w:abstractNumId w:val="12"/>
  </w:num>
  <w:num w:numId="8" w16cid:durableId="539628493">
    <w:abstractNumId w:val="16"/>
  </w:num>
  <w:num w:numId="9" w16cid:durableId="761537417">
    <w:abstractNumId w:val="14"/>
  </w:num>
  <w:num w:numId="10" w16cid:durableId="1582566048">
    <w:abstractNumId w:val="17"/>
  </w:num>
  <w:num w:numId="11" w16cid:durableId="1159466434">
    <w:abstractNumId w:val="3"/>
  </w:num>
  <w:num w:numId="12" w16cid:durableId="1689060374">
    <w:abstractNumId w:val="5"/>
  </w:num>
  <w:num w:numId="13" w16cid:durableId="1475220227">
    <w:abstractNumId w:val="9"/>
  </w:num>
  <w:num w:numId="14" w16cid:durableId="1390416967">
    <w:abstractNumId w:val="15"/>
  </w:num>
  <w:num w:numId="15" w16cid:durableId="1409186600">
    <w:abstractNumId w:val="6"/>
  </w:num>
  <w:num w:numId="16" w16cid:durableId="1045914006">
    <w:abstractNumId w:val="13"/>
  </w:num>
  <w:num w:numId="17" w16cid:durableId="1607274199">
    <w:abstractNumId w:val="4"/>
  </w:num>
  <w:num w:numId="18" w16cid:durableId="276409">
    <w:abstractNumId w:val="10"/>
  </w:num>
  <w:num w:numId="19" w16cid:durableId="6298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3EFC"/>
    <w:rsid w:val="00024C03"/>
    <w:rsid w:val="00025EC6"/>
    <w:rsid w:val="0006158B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22383"/>
    <w:rsid w:val="0013269E"/>
    <w:rsid w:val="00153046"/>
    <w:rsid w:val="00156E15"/>
    <w:rsid w:val="00156FE0"/>
    <w:rsid w:val="00160D45"/>
    <w:rsid w:val="001771F2"/>
    <w:rsid w:val="001819EB"/>
    <w:rsid w:val="001A582A"/>
    <w:rsid w:val="001B7ADB"/>
    <w:rsid w:val="001C3B0E"/>
    <w:rsid w:val="001D1156"/>
    <w:rsid w:val="001D5803"/>
    <w:rsid w:val="001D59A8"/>
    <w:rsid w:val="001F0558"/>
    <w:rsid w:val="001F1D5A"/>
    <w:rsid w:val="00211FB8"/>
    <w:rsid w:val="0022429E"/>
    <w:rsid w:val="002252DA"/>
    <w:rsid w:val="002453D2"/>
    <w:rsid w:val="00245D75"/>
    <w:rsid w:val="00246EF0"/>
    <w:rsid w:val="00256AB6"/>
    <w:rsid w:val="00280EAF"/>
    <w:rsid w:val="0028603D"/>
    <w:rsid w:val="00291631"/>
    <w:rsid w:val="002B10E0"/>
    <w:rsid w:val="002C34B3"/>
    <w:rsid w:val="002C7D65"/>
    <w:rsid w:val="002D75BC"/>
    <w:rsid w:val="002F3AE4"/>
    <w:rsid w:val="002F4E79"/>
    <w:rsid w:val="00304A23"/>
    <w:rsid w:val="0031428C"/>
    <w:rsid w:val="0031537C"/>
    <w:rsid w:val="00324773"/>
    <w:rsid w:val="00345269"/>
    <w:rsid w:val="00361EEA"/>
    <w:rsid w:val="00392D4D"/>
    <w:rsid w:val="0039642E"/>
    <w:rsid w:val="003A4B0D"/>
    <w:rsid w:val="003B4070"/>
    <w:rsid w:val="003C1BA8"/>
    <w:rsid w:val="003C3865"/>
    <w:rsid w:val="004118F9"/>
    <w:rsid w:val="0041667C"/>
    <w:rsid w:val="00422D66"/>
    <w:rsid w:val="00437848"/>
    <w:rsid w:val="00442329"/>
    <w:rsid w:val="00450BD2"/>
    <w:rsid w:val="0049298E"/>
    <w:rsid w:val="0049399B"/>
    <w:rsid w:val="00493F15"/>
    <w:rsid w:val="004B2A6D"/>
    <w:rsid w:val="004B4362"/>
    <w:rsid w:val="004C216C"/>
    <w:rsid w:val="004D5F7C"/>
    <w:rsid w:val="004E0139"/>
    <w:rsid w:val="004E5873"/>
    <w:rsid w:val="004F1916"/>
    <w:rsid w:val="00500E74"/>
    <w:rsid w:val="00504799"/>
    <w:rsid w:val="005056BA"/>
    <w:rsid w:val="00510AA7"/>
    <w:rsid w:val="00537FD0"/>
    <w:rsid w:val="0056405F"/>
    <w:rsid w:val="00590708"/>
    <w:rsid w:val="005A4056"/>
    <w:rsid w:val="005B57E8"/>
    <w:rsid w:val="005C0614"/>
    <w:rsid w:val="005C66A6"/>
    <w:rsid w:val="005F5A28"/>
    <w:rsid w:val="0061013E"/>
    <w:rsid w:val="006141C4"/>
    <w:rsid w:val="006144F8"/>
    <w:rsid w:val="00614ADD"/>
    <w:rsid w:val="00615264"/>
    <w:rsid w:val="00625FCF"/>
    <w:rsid w:val="00633695"/>
    <w:rsid w:val="00663376"/>
    <w:rsid w:val="0066653A"/>
    <w:rsid w:val="0068438E"/>
    <w:rsid w:val="0069449B"/>
    <w:rsid w:val="006B6AE2"/>
    <w:rsid w:val="006C0B54"/>
    <w:rsid w:val="006C1EA5"/>
    <w:rsid w:val="006C2875"/>
    <w:rsid w:val="006D25DD"/>
    <w:rsid w:val="006D73AA"/>
    <w:rsid w:val="00707358"/>
    <w:rsid w:val="0071545F"/>
    <w:rsid w:val="0072797B"/>
    <w:rsid w:val="00752BAB"/>
    <w:rsid w:val="00765B35"/>
    <w:rsid w:val="007D4D58"/>
    <w:rsid w:val="007E3952"/>
    <w:rsid w:val="007F5214"/>
    <w:rsid w:val="00801FFF"/>
    <w:rsid w:val="00821738"/>
    <w:rsid w:val="0083366B"/>
    <w:rsid w:val="0083408D"/>
    <w:rsid w:val="008401B3"/>
    <w:rsid w:val="00841546"/>
    <w:rsid w:val="00845C5D"/>
    <w:rsid w:val="008470EE"/>
    <w:rsid w:val="0084781E"/>
    <w:rsid w:val="00863408"/>
    <w:rsid w:val="0087024F"/>
    <w:rsid w:val="008746A8"/>
    <w:rsid w:val="008747D1"/>
    <w:rsid w:val="0089472A"/>
    <w:rsid w:val="00896F1A"/>
    <w:rsid w:val="008A5BFC"/>
    <w:rsid w:val="008B1D4E"/>
    <w:rsid w:val="008B2A4D"/>
    <w:rsid w:val="008B39F4"/>
    <w:rsid w:val="008B49A0"/>
    <w:rsid w:val="008C17E9"/>
    <w:rsid w:val="008C2218"/>
    <w:rsid w:val="008D6400"/>
    <w:rsid w:val="008F000D"/>
    <w:rsid w:val="008F3092"/>
    <w:rsid w:val="00921C55"/>
    <w:rsid w:val="00926BD0"/>
    <w:rsid w:val="00941DB4"/>
    <w:rsid w:val="00961158"/>
    <w:rsid w:val="00961E45"/>
    <w:rsid w:val="0096705F"/>
    <w:rsid w:val="009838AA"/>
    <w:rsid w:val="009866B0"/>
    <w:rsid w:val="009A0657"/>
    <w:rsid w:val="009A453C"/>
    <w:rsid w:val="009B2C57"/>
    <w:rsid w:val="009C7167"/>
    <w:rsid w:val="009F6329"/>
    <w:rsid w:val="00A10123"/>
    <w:rsid w:val="00A25A9A"/>
    <w:rsid w:val="00A3214F"/>
    <w:rsid w:val="00A67B77"/>
    <w:rsid w:val="00A706F4"/>
    <w:rsid w:val="00A744DD"/>
    <w:rsid w:val="00A84499"/>
    <w:rsid w:val="00A979DB"/>
    <w:rsid w:val="00AA4423"/>
    <w:rsid w:val="00AA4B45"/>
    <w:rsid w:val="00AA6781"/>
    <w:rsid w:val="00AA69EE"/>
    <w:rsid w:val="00AD3589"/>
    <w:rsid w:val="00AE051C"/>
    <w:rsid w:val="00AE7684"/>
    <w:rsid w:val="00B132AC"/>
    <w:rsid w:val="00B13A7E"/>
    <w:rsid w:val="00B14287"/>
    <w:rsid w:val="00B14D76"/>
    <w:rsid w:val="00B17DA5"/>
    <w:rsid w:val="00B22884"/>
    <w:rsid w:val="00B263F8"/>
    <w:rsid w:val="00B752F1"/>
    <w:rsid w:val="00B776D1"/>
    <w:rsid w:val="00B80BE4"/>
    <w:rsid w:val="00B93154"/>
    <w:rsid w:val="00B93A27"/>
    <w:rsid w:val="00BA505C"/>
    <w:rsid w:val="00BB016C"/>
    <w:rsid w:val="00BB7767"/>
    <w:rsid w:val="00BD63C0"/>
    <w:rsid w:val="00BE36C3"/>
    <w:rsid w:val="00BE6E14"/>
    <w:rsid w:val="00BF73D5"/>
    <w:rsid w:val="00C03D4E"/>
    <w:rsid w:val="00C06B73"/>
    <w:rsid w:val="00C107BD"/>
    <w:rsid w:val="00C32947"/>
    <w:rsid w:val="00C533C4"/>
    <w:rsid w:val="00C54E5B"/>
    <w:rsid w:val="00C57713"/>
    <w:rsid w:val="00C61175"/>
    <w:rsid w:val="00C70F76"/>
    <w:rsid w:val="00C76755"/>
    <w:rsid w:val="00CA6242"/>
    <w:rsid w:val="00CB09DD"/>
    <w:rsid w:val="00CC0448"/>
    <w:rsid w:val="00CD4883"/>
    <w:rsid w:val="00CF77A7"/>
    <w:rsid w:val="00D07F4D"/>
    <w:rsid w:val="00D15D06"/>
    <w:rsid w:val="00D17C51"/>
    <w:rsid w:val="00D31C66"/>
    <w:rsid w:val="00D44A77"/>
    <w:rsid w:val="00D6195F"/>
    <w:rsid w:val="00D61A6B"/>
    <w:rsid w:val="00D65F32"/>
    <w:rsid w:val="00D706C0"/>
    <w:rsid w:val="00D845B7"/>
    <w:rsid w:val="00D97876"/>
    <w:rsid w:val="00DA357F"/>
    <w:rsid w:val="00DE75D7"/>
    <w:rsid w:val="00E01D40"/>
    <w:rsid w:val="00E068ED"/>
    <w:rsid w:val="00E135C8"/>
    <w:rsid w:val="00E13BB1"/>
    <w:rsid w:val="00E325D7"/>
    <w:rsid w:val="00E34CB4"/>
    <w:rsid w:val="00E5768F"/>
    <w:rsid w:val="00E64CA3"/>
    <w:rsid w:val="00E677FE"/>
    <w:rsid w:val="00E8211D"/>
    <w:rsid w:val="00EA706C"/>
    <w:rsid w:val="00EB1C60"/>
    <w:rsid w:val="00EB4233"/>
    <w:rsid w:val="00F07B92"/>
    <w:rsid w:val="00F13A18"/>
    <w:rsid w:val="00F173B2"/>
    <w:rsid w:val="00F57515"/>
    <w:rsid w:val="00F73A55"/>
    <w:rsid w:val="00FA7A17"/>
    <w:rsid w:val="00FB0569"/>
    <w:rsid w:val="00FB2849"/>
    <w:rsid w:val="00FC38BA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07B92"/>
    <w:pPr>
      <w:autoSpaceDE w:val="0"/>
      <w:autoSpaceDN w:val="0"/>
      <w:ind w:left="590"/>
    </w:pPr>
    <w:rPr>
      <w:rFonts w:ascii="Microsoft JhengHei" w:eastAsia="Microsoft JhengHei" w:hAnsi="Microsoft JhengHei" w:cs="Microsoft Jheng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EB70C552-86FD-4F37-AA94-63E485FD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124</cp:revision>
  <dcterms:created xsi:type="dcterms:W3CDTF">2021-07-23T04:04:00Z</dcterms:created>
  <dcterms:modified xsi:type="dcterms:W3CDTF">2023-06-13T09:45:00Z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